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8E69" w14:textId="5B294D81" w:rsidR="00DF08A8" w:rsidRPr="00476CDE" w:rsidRDefault="008B4A5D" w:rsidP="008B4A5D">
      <w:pPr>
        <w:pStyle w:val="Guidelines3"/>
        <w:rPr>
          <w:highlight w:val="yellow"/>
        </w:rPr>
      </w:pPr>
      <w:bookmarkStart w:id="0" w:name="_Toc133334021"/>
      <w:r>
        <w:rPr>
          <w:highlight w:val="yellow"/>
        </w:rPr>
        <w:t xml:space="preserve">Les </w:t>
      </w:r>
      <w:r w:rsidR="00DF08A8" w:rsidRPr="00476CDE">
        <w:rPr>
          <w:highlight w:val="yellow"/>
        </w:rPr>
        <w:t>Entités affiliées</w:t>
      </w:r>
      <w:bookmarkEnd w:id="0"/>
    </w:p>
    <w:p w14:paraId="0A524A8B" w14:textId="77777777" w:rsidR="00DF08A8" w:rsidRPr="00DF08A8" w:rsidRDefault="00DF08A8" w:rsidP="00DF08A8">
      <w:pPr>
        <w:spacing w:line="276" w:lineRule="auto"/>
      </w:pPr>
      <w:r w:rsidRPr="00DF08A8">
        <w:t>Le demandeur chef de file et son ou ses codemandeurs peuvent agir avec une ou des entités affiliées. Seules les entités suivantes peuvent être considérées comme affiliées au demandeur chef de file et/ou au(x) codemandeur(s):</w:t>
      </w:r>
    </w:p>
    <w:p w14:paraId="5FABB441" w14:textId="12027840" w:rsidR="00DF08A8" w:rsidRDefault="00DF08A8" w:rsidP="00DF08A8">
      <w:pPr>
        <w:spacing w:line="276" w:lineRule="auto"/>
      </w:pPr>
      <w:r w:rsidRPr="00DF08A8">
        <w:t>Uniquement les entités qui ont un lien structurel avec les demandeurs (le demandeur chef de file ou un codemandeur), en particulier un lien juridique ou de capital</w:t>
      </w:r>
    </w:p>
    <w:p w14:paraId="39374D5E" w14:textId="3E51B579" w:rsidR="00DF08A8" w:rsidRPr="00593829" w:rsidRDefault="00DF08A8" w:rsidP="00DF08A8">
      <w:pPr>
        <w:spacing w:line="276" w:lineRule="auto"/>
      </w:pPr>
      <w:r>
        <w:t>Ce lien structurel englobe principalement deux notions:</w:t>
      </w:r>
    </w:p>
    <w:p w14:paraId="199FD3DC" w14:textId="77777777" w:rsidR="00DF08A8" w:rsidRPr="00593829" w:rsidRDefault="00DF08A8" w:rsidP="00DF08A8">
      <w:pPr>
        <w:spacing w:line="276" w:lineRule="auto"/>
        <w:ind w:left="720" w:hanging="567"/>
      </w:pPr>
      <w:r>
        <w:t xml:space="preserve">i) </w:t>
      </w:r>
      <w:r>
        <w:tab/>
        <w:t>le contrôle, au sens de la règlementation relative aux états financiers annuels, aux états financiers consolidés et aux rapports y afférents de certaines formes d’entreprises :</w:t>
      </w:r>
    </w:p>
    <w:p w14:paraId="238F680E" w14:textId="77777777" w:rsidR="00DF08A8" w:rsidRPr="00593829" w:rsidRDefault="00DF08A8" w:rsidP="00DF08A8">
      <w:pPr>
        <w:spacing w:after="120" w:line="276" w:lineRule="auto"/>
        <w:ind w:left="709"/>
      </w:pPr>
      <w:r>
        <w:t>Les entités affiliées à un demandeur peuvent donc être:</w:t>
      </w:r>
    </w:p>
    <w:p w14:paraId="4F979F5A" w14:textId="77777777" w:rsidR="00DF08A8" w:rsidRPr="00593829" w:rsidRDefault="00DF08A8" w:rsidP="00DF08A8">
      <w:pPr>
        <w:numPr>
          <w:ilvl w:val="0"/>
          <w:numId w:val="2"/>
        </w:numPr>
        <w:spacing w:after="0" w:line="276" w:lineRule="auto"/>
        <w:ind w:left="1276" w:hanging="283"/>
      </w:pPr>
      <w:r>
        <w:t>des entités contrôlées directement ou indirectement par le demandeur (filiales ou filiales de premier rang) ou contrôlées par une entité elle-même contrôlée par le demandeur (sous-filiales ou filiales de deuxième rang). Ce qui précède est valable pour les autres niveaux de contrôle;</w:t>
      </w:r>
    </w:p>
    <w:p w14:paraId="06C9175D" w14:textId="77777777" w:rsidR="00DF08A8" w:rsidRPr="00593829" w:rsidRDefault="00DF08A8" w:rsidP="00DF08A8">
      <w:pPr>
        <w:numPr>
          <w:ilvl w:val="0"/>
          <w:numId w:val="2"/>
        </w:numPr>
        <w:spacing w:after="0" w:line="276" w:lineRule="auto"/>
        <w:ind w:left="1276" w:hanging="283"/>
      </w:pPr>
      <w:r>
        <w:t>des entités contrôlant directement ou indirectement le demandeur (sociétés mères). De la même façon, il peut s’agir d’entités contrôlant une entité contrôlant le demandeur;</w:t>
      </w:r>
    </w:p>
    <w:p w14:paraId="6B921231" w14:textId="77777777" w:rsidR="00DF08A8" w:rsidRPr="00593829" w:rsidRDefault="00DF08A8" w:rsidP="00DF08A8">
      <w:pPr>
        <w:numPr>
          <w:ilvl w:val="0"/>
          <w:numId w:val="2"/>
        </w:numPr>
        <w:spacing w:after="0" w:line="276" w:lineRule="auto"/>
        <w:ind w:left="1276" w:hanging="283"/>
      </w:pPr>
      <w:r>
        <w:t>des entités au même niveau de contrôle direct ou indirect que le demandeur (sociétés sœurs).</w:t>
      </w:r>
    </w:p>
    <w:p w14:paraId="5DD0BF9C" w14:textId="77777777" w:rsidR="00DF08A8" w:rsidRPr="00593829" w:rsidRDefault="00DF08A8" w:rsidP="00DF08A8">
      <w:pPr>
        <w:spacing w:after="0" w:line="276" w:lineRule="auto"/>
        <w:ind w:left="720" w:hanging="578"/>
      </w:pPr>
      <w:r>
        <w:t xml:space="preserve">ii) </w:t>
      </w:r>
      <w:r>
        <w:tab/>
        <w:t>l’adhésion, c’est-à-dire que le demandeur est juridiquement défini comme, par exemple, un réseau, une fédération ou une association dont les entités affiliées proposées sont membres, ou bien le demandeur est membre de la même entité (par exemple, un réseau, une fédération ou une association) que les entités affiliées proposées.</w:t>
      </w:r>
    </w:p>
    <w:p w14:paraId="2C53AD66" w14:textId="77777777" w:rsidR="00DF08A8" w:rsidRPr="00593829" w:rsidRDefault="00DF08A8" w:rsidP="00DF08A8">
      <w:pPr>
        <w:spacing w:after="0" w:line="276" w:lineRule="auto"/>
      </w:pPr>
    </w:p>
    <w:p w14:paraId="212FE0D9" w14:textId="77777777" w:rsidR="00DF08A8" w:rsidRPr="00593829" w:rsidRDefault="00DF08A8" w:rsidP="00DF08A8">
      <w:pPr>
        <w:spacing w:after="0" w:line="276" w:lineRule="auto"/>
      </w:pPr>
      <w:r>
        <w:t>D’une manière générale, le lien structurel ne doit pas être limité à l’action, ni établi aux seules fins de la mise en œuvre de cette dernière. Il doit donc exister indépendamment de l’attribution de la subvention. il devrait exister avant l’appel à propositions et rester valide une fois l’action terminée.</w:t>
      </w:r>
    </w:p>
    <w:p w14:paraId="44D1A08D" w14:textId="77777777" w:rsidR="00DF08A8" w:rsidRPr="00593829" w:rsidRDefault="00DF08A8" w:rsidP="00DF08A8">
      <w:pPr>
        <w:spacing w:after="0" w:line="276" w:lineRule="auto"/>
        <w:ind w:left="720"/>
      </w:pPr>
    </w:p>
    <w:p w14:paraId="39091225" w14:textId="77777777" w:rsidR="00DF08A8" w:rsidRPr="00593829" w:rsidRDefault="00DF08A8" w:rsidP="00DF08A8">
      <w:pPr>
        <w:spacing w:line="276" w:lineRule="auto"/>
      </w:pPr>
      <w:r>
        <w:t>À titre exceptionnel, une entité peut être considérée comme affiliée à un demandeur même si le lien structurel a été établi aux seules fins de la mise en œuvre de l’action, dans le cas de «demandeurs uniques» ou de «bénéficiaires uniques». Un demandeur unique ou un bénéficiaire unique est une entité juridique formée de plusieurs entités (un groupe d’entités) qui satisfont ensemble aux critères d’attribution de la subvention. Par exemple, une association est formée de ses membres.</w:t>
      </w:r>
    </w:p>
    <w:p w14:paraId="2C09F5E0" w14:textId="77777777" w:rsidR="00DF08A8" w:rsidRPr="00593829" w:rsidRDefault="00DF08A8" w:rsidP="00DF08A8">
      <w:pPr>
        <w:pStyle w:val="Titre5"/>
        <w:spacing w:line="276" w:lineRule="auto"/>
        <w:rPr>
          <w:rFonts w:ascii="Times New Roman" w:hAnsi="Times New Roman"/>
          <w:szCs w:val="22"/>
          <w:u w:val="single"/>
        </w:rPr>
      </w:pPr>
      <w:r>
        <w:rPr>
          <w:rFonts w:ascii="Times New Roman" w:hAnsi="Times New Roman"/>
          <w:szCs w:val="22"/>
          <w:u w:val="single"/>
        </w:rPr>
        <w:t xml:space="preserve">Que ne peut pas être une entité affiliée? </w:t>
      </w:r>
    </w:p>
    <w:p w14:paraId="152A6373" w14:textId="77777777" w:rsidR="00DF08A8" w:rsidRPr="00593829" w:rsidRDefault="00DF08A8" w:rsidP="00DF08A8">
      <w:pPr>
        <w:spacing w:after="0"/>
      </w:pPr>
    </w:p>
    <w:p w14:paraId="1635FAC9" w14:textId="77777777" w:rsidR="00DF08A8" w:rsidRPr="00593829" w:rsidRDefault="00DF08A8" w:rsidP="00DF08A8">
      <w:pPr>
        <w:spacing w:after="0"/>
      </w:pPr>
      <w:r>
        <w:t>Les entités suivantes ne peuvent pas être considérées comme affiliées à un demandeur:</w:t>
      </w:r>
    </w:p>
    <w:p w14:paraId="2FE2B9DA" w14:textId="77777777" w:rsidR="00DF08A8" w:rsidRPr="00593829" w:rsidRDefault="00DF08A8" w:rsidP="00DF08A8">
      <w:pPr>
        <w:spacing w:after="0" w:line="276" w:lineRule="auto"/>
        <w:rPr>
          <w:szCs w:val="22"/>
        </w:rPr>
      </w:pPr>
    </w:p>
    <w:p w14:paraId="2800A8F4" w14:textId="77777777" w:rsidR="00DF08A8" w:rsidRPr="00593829" w:rsidRDefault="00DF08A8" w:rsidP="00DF08A8">
      <w:pPr>
        <w:numPr>
          <w:ilvl w:val="0"/>
          <w:numId w:val="3"/>
        </w:numPr>
        <w:spacing w:after="0" w:line="276" w:lineRule="auto"/>
      </w:pPr>
      <w:r>
        <w:t>les entités qui ont conclu un contrat ou un contrat de sous-traitance (passation de marchés publics) avec un demandeur, agissent en tant que concessionnaires ou délégataires de services publics pour un demandeur;</w:t>
      </w:r>
    </w:p>
    <w:p w14:paraId="3C5E5A6E" w14:textId="77777777" w:rsidR="00DF08A8" w:rsidRPr="00593829" w:rsidRDefault="00DF08A8" w:rsidP="00DF08A8">
      <w:pPr>
        <w:numPr>
          <w:ilvl w:val="0"/>
          <w:numId w:val="3"/>
        </w:numPr>
        <w:spacing w:after="0" w:line="276" w:lineRule="auto"/>
      </w:pPr>
      <w:r>
        <w:t>les entités qui perçoivent un soutien financier de la part du demandeur;</w:t>
      </w:r>
    </w:p>
    <w:p w14:paraId="0ABFF3DF" w14:textId="77777777" w:rsidR="00DF08A8" w:rsidRPr="00593829" w:rsidRDefault="00DF08A8" w:rsidP="00DF08A8">
      <w:pPr>
        <w:numPr>
          <w:ilvl w:val="0"/>
          <w:numId w:val="3"/>
        </w:numPr>
        <w:spacing w:after="0" w:line="276" w:lineRule="auto"/>
      </w:pPr>
      <w:r>
        <w:t>les entités qui collaborent régulièrement avec un demandeur sur la base d’un protocole d’accord ou qui partagent des actifs avec lui;</w:t>
      </w:r>
    </w:p>
    <w:p w14:paraId="00FB778D" w14:textId="77777777" w:rsidR="00DF08A8" w:rsidRPr="00593829" w:rsidRDefault="00DF08A8" w:rsidP="00DF08A8">
      <w:pPr>
        <w:numPr>
          <w:ilvl w:val="0"/>
          <w:numId w:val="3"/>
        </w:numPr>
        <w:spacing w:after="0" w:line="276" w:lineRule="auto"/>
      </w:pPr>
      <w:r>
        <w:lastRenderedPageBreak/>
        <w:t>les entités qui ont signé un accord de consortium dans le cadre du contrat de subvention (sauf si cet accord de consortium conduit à la création d’un «demandeur unique» tel que décrit ci-dessus).</w:t>
      </w:r>
    </w:p>
    <w:p w14:paraId="4A25FEEA" w14:textId="77777777" w:rsidR="00DF08A8" w:rsidRPr="00593829" w:rsidRDefault="00DF08A8" w:rsidP="00DF08A8">
      <w:pPr>
        <w:spacing w:after="0" w:line="276" w:lineRule="auto"/>
      </w:pPr>
    </w:p>
    <w:p w14:paraId="2EB134AC" w14:textId="77777777" w:rsidR="00DF08A8" w:rsidRPr="00593829" w:rsidRDefault="00DF08A8" w:rsidP="00DF08A8">
      <w:pPr>
        <w:spacing w:after="0" w:line="276" w:lineRule="auto"/>
        <w:rPr>
          <w:u w:val="single"/>
        </w:rPr>
      </w:pPr>
      <w:r>
        <w:rPr>
          <w:u w:val="single"/>
        </w:rPr>
        <w:t>Comment vérifier l’existence du lien requis avec un demandeur?</w:t>
      </w:r>
    </w:p>
    <w:p w14:paraId="5F3E6B5F" w14:textId="77777777" w:rsidR="00DF08A8" w:rsidRPr="00593829" w:rsidRDefault="00DF08A8" w:rsidP="00DF08A8">
      <w:pPr>
        <w:spacing w:after="0"/>
      </w:pPr>
    </w:p>
    <w:p w14:paraId="78AA00E3" w14:textId="77777777" w:rsidR="00DF08A8" w:rsidRPr="00593829" w:rsidRDefault="00DF08A8" w:rsidP="00DF08A8">
      <w:pPr>
        <w:spacing w:after="0" w:line="276" w:lineRule="auto"/>
        <w:ind w:left="8"/>
      </w:pPr>
      <w:r>
        <w:t>L’affiliation résultant d’une relation de contrôle peut être démontrée en particulier sur la base des comptes consolidés du groupe auquel appartiennent le demandeur et ses entités affiliées proposées.</w:t>
      </w:r>
    </w:p>
    <w:p w14:paraId="2CF0FB74" w14:textId="77777777" w:rsidR="00DF08A8" w:rsidRPr="00593829" w:rsidRDefault="00DF08A8" w:rsidP="00DF08A8">
      <w:pPr>
        <w:spacing w:after="0" w:line="276" w:lineRule="auto"/>
      </w:pPr>
    </w:p>
    <w:p w14:paraId="33EB55B3" w14:textId="77777777" w:rsidR="00DF08A8" w:rsidRPr="00593829" w:rsidRDefault="00DF08A8" w:rsidP="00DF08A8">
      <w:pPr>
        <w:spacing w:after="0" w:line="276" w:lineRule="auto"/>
      </w:pPr>
      <w:r>
        <w:t>Celle résultant d’une adhésion peut être démontrée en particulier sur la base des statuts (ou d’un acte constitutif équivalent) de l’entité (réseau, fédération, association) que forme le demandeur ou à laquelle il participe.</w:t>
      </w:r>
    </w:p>
    <w:p w14:paraId="66439595" w14:textId="77777777" w:rsidR="00DF08A8" w:rsidRPr="00593829" w:rsidRDefault="00DF08A8" w:rsidP="00DF08A8">
      <w:r>
        <w:t>Si un contrat de subvention est attribué à un demandeur, ses entités affiliées ne deviennent ni bénéficiaires de l’action ni signataires du contrat de subvention. Toutefois, elles participent à l’élaboration et à la mise en œuvre de l’action et les coûts qu’elles supportent (notamment ceux relatifs aux marchés de mise en œuvre et au soutien financier de tiers et de sous-traitants) peuvent être éligibles, à condition de respecter les règles pertinentes applicables aux bénéficiaires en vertu du contrat de subvention.</w:t>
      </w:r>
    </w:p>
    <w:p w14:paraId="49CE6200" w14:textId="77777777" w:rsidR="00DF08A8" w:rsidRDefault="00DF08A8" w:rsidP="00DF08A8">
      <w:r>
        <w:t>Les entités affiliées doivent satisfaire aux mêmes critères d’éligibilité que ceux qui s’appliquent au demandeur chef de file et aux codemandeurs. Elles doivent signer la déclaration les concernant qui figure dans la partie B, section 5, du formulaire de demande de subvention.</w:t>
      </w:r>
    </w:p>
    <w:p w14:paraId="3D1AC011" w14:textId="77777777" w:rsidR="008B4A5D" w:rsidRPr="00807DAF" w:rsidRDefault="008B4A5D" w:rsidP="00DF08A8"/>
    <w:p w14:paraId="41FA0DCD" w14:textId="77777777" w:rsidR="008B4A5D" w:rsidRPr="008B4A5D" w:rsidRDefault="008B4A5D" w:rsidP="008B4A5D">
      <w:pPr>
        <w:pStyle w:val="Guidelines3"/>
        <w:rPr>
          <w:highlight w:val="yellow"/>
        </w:rPr>
      </w:pPr>
      <w:r w:rsidRPr="008B4A5D">
        <w:rPr>
          <w:highlight w:val="yellow"/>
        </w:rPr>
        <w:t>Les options simplifiées en matière de coûts (OSC)</w:t>
      </w:r>
    </w:p>
    <w:p w14:paraId="30F0543B" w14:textId="77777777" w:rsidR="008B4A5D" w:rsidRPr="008B4A5D" w:rsidRDefault="008B4A5D" w:rsidP="008B4A5D">
      <w:pPr>
        <w:rPr>
          <w:rFonts w:asciiTheme="minorHAnsi" w:hAnsiTheme="minorHAnsi" w:cstheme="minorHAnsi"/>
          <w:b/>
        </w:rPr>
      </w:pPr>
      <w:r w:rsidRPr="008B4A5D">
        <w:rPr>
          <w:rFonts w:asciiTheme="minorHAnsi" w:hAnsiTheme="minorHAnsi" w:cstheme="minorHAnsi"/>
        </w:rPr>
        <w:t>Les options simplifiées en matière de coûts (OSC) peuvent prendre les formes suivantes:</w:t>
      </w:r>
    </w:p>
    <w:p w14:paraId="0EDC1E59" w14:textId="77777777" w:rsidR="008B4A5D" w:rsidRPr="008B4A5D" w:rsidRDefault="008B4A5D" w:rsidP="008B4A5D">
      <w:pPr>
        <w:numPr>
          <w:ilvl w:val="0"/>
          <w:numId w:val="5"/>
        </w:numPr>
        <w:rPr>
          <w:rFonts w:asciiTheme="minorHAnsi" w:hAnsiTheme="minorHAnsi" w:cstheme="minorHAnsi"/>
        </w:rPr>
      </w:pPr>
      <w:r w:rsidRPr="008B4A5D">
        <w:rPr>
          <w:rFonts w:asciiTheme="minorHAnsi" w:hAnsiTheme="minorHAnsi" w:cstheme="minorHAnsi"/>
          <w:b/>
        </w:rPr>
        <w:t>coûts unitaires:</w:t>
      </w:r>
      <w:r w:rsidRPr="008B4A5D">
        <w:rPr>
          <w:rFonts w:asciiTheme="minorHAnsi" w:hAnsiTheme="minorHAnsi" w:cstheme="minorHAnsi"/>
        </w:rPr>
        <w:t xml:space="preserve"> couvrent tout ou partie des catégories spécifiques de coûts éligibles qui sont clairement fixées à l’avance par référence à un </w:t>
      </w:r>
      <w:r w:rsidRPr="008B4A5D">
        <w:rPr>
          <w:rFonts w:asciiTheme="minorHAnsi" w:hAnsiTheme="minorHAnsi" w:cstheme="minorHAnsi"/>
          <w:u w:val="single"/>
        </w:rPr>
        <w:t>montant par unité</w:t>
      </w:r>
      <w:r w:rsidRPr="008B4A5D">
        <w:rPr>
          <w:rFonts w:asciiTheme="minorHAnsi" w:hAnsiTheme="minorHAnsi" w:cstheme="minorHAnsi"/>
        </w:rPr>
        <w:t>.</w:t>
      </w:r>
    </w:p>
    <w:p w14:paraId="2D84F7AD" w14:textId="77777777" w:rsidR="008B4A5D" w:rsidRPr="008B4A5D" w:rsidRDefault="008B4A5D" w:rsidP="008B4A5D">
      <w:pPr>
        <w:numPr>
          <w:ilvl w:val="0"/>
          <w:numId w:val="5"/>
        </w:numPr>
        <w:rPr>
          <w:rFonts w:asciiTheme="minorHAnsi" w:hAnsiTheme="minorHAnsi" w:cstheme="minorHAnsi"/>
        </w:rPr>
      </w:pPr>
      <w:r w:rsidRPr="008B4A5D">
        <w:rPr>
          <w:rFonts w:asciiTheme="minorHAnsi" w:hAnsiTheme="minorHAnsi" w:cstheme="minorHAnsi"/>
          <w:b/>
        </w:rPr>
        <w:t xml:space="preserve">montants forfaitaires: </w:t>
      </w:r>
      <w:r w:rsidRPr="008B4A5D">
        <w:rPr>
          <w:rFonts w:asciiTheme="minorHAnsi" w:hAnsiTheme="minorHAnsi" w:cstheme="minorHAnsi"/>
        </w:rPr>
        <w:t xml:space="preserve">couvrent </w:t>
      </w:r>
      <w:r w:rsidRPr="008B4A5D">
        <w:rPr>
          <w:rFonts w:asciiTheme="minorHAnsi" w:hAnsiTheme="minorHAnsi" w:cstheme="minorHAnsi"/>
          <w:u w:val="single"/>
        </w:rPr>
        <w:t>globalement</w:t>
      </w:r>
      <w:r w:rsidRPr="008B4A5D">
        <w:rPr>
          <w:rFonts w:asciiTheme="minorHAnsi" w:hAnsiTheme="minorHAnsi" w:cstheme="minorHAnsi"/>
        </w:rPr>
        <w:t xml:space="preserve"> tout ou partie des catégories spécifiques de coûts éligibles qui sont clairement fixées à l’avance;</w:t>
      </w:r>
    </w:p>
    <w:p w14:paraId="611E7C4A" w14:textId="77777777" w:rsidR="008B4A5D" w:rsidRPr="00CB1F22" w:rsidRDefault="008B4A5D" w:rsidP="008B4A5D">
      <w:pPr>
        <w:rPr>
          <w:rFonts w:asciiTheme="minorHAnsi" w:hAnsiTheme="minorHAnsi" w:cstheme="minorHAnsi"/>
        </w:rPr>
      </w:pPr>
      <w:r w:rsidRPr="00CB1F22">
        <w:rPr>
          <w:rFonts w:asciiTheme="minorHAnsi" w:hAnsiTheme="minorHAnsi" w:cstheme="minorHAnsi"/>
        </w:rPr>
        <w:t>Les options simplifiées en matière de coûts qui peuvent être proposées sont les suivants :</w:t>
      </w:r>
    </w:p>
    <w:p w14:paraId="699317EB" w14:textId="77777777" w:rsidR="008B4A5D" w:rsidRPr="00CB1F22" w:rsidRDefault="008B4A5D" w:rsidP="008B4A5D">
      <w:pPr>
        <w:rPr>
          <w:rFonts w:asciiTheme="minorHAnsi" w:hAnsiTheme="minorHAnsi" w:cstheme="minorHAnsi"/>
        </w:rPr>
      </w:pPr>
      <w:r w:rsidRPr="00CB1F22">
        <w:rPr>
          <w:rFonts w:asciiTheme="minorHAnsi" w:hAnsiTheme="minorHAnsi" w:cstheme="minorHAnsi"/>
        </w:rPr>
        <w:t xml:space="preserve">Les «OSC basées sur les produits ou les résultats»: cette catégorie inclut les coûts liés aux produits, aux résultats, aux activités et aux éléments livrables dans le cadre d’un projet donné </w:t>
      </w:r>
      <w:r w:rsidRPr="005E159F">
        <w:rPr>
          <w:rFonts w:asciiTheme="minorHAnsi" w:hAnsiTheme="minorHAnsi" w:cstheme="minorHAnsi"/>
          <w:b/>
          <w:bCs/>
        </w:rPr>
        <w:t>(par exemple la fixation d’un montant forfaitaire pour l’organisation d’une séance de débat, l’organisation d’une compétition ou d’une formation)</w:t>
      </w:r>
      <w:r w:rsidRPr="00CB1F22">
        <w:rPr>
          <w:rFonts w:asciiTheme="minorHAnsi" w:hAnsiTheme="minorHAnsi" w:cstheme="minorHAnsi"/>
        </w:rPr>
        <w:t xml:space="preserve">. Dans la mesure du possible et s’il y a lieu, les montants forfaitaires ou les coûts unitaires sont calculés de manière à permettre leur paiement lorsque des produits/résultats concrets sont obtenus. </w:t>
      </w:r>
      <w:r w:rsidRPr="00CB1F22">
        <w:rPr>
          <w:rFonts w:asciiTheme="minorHAnsi" w:hAnsiTheme="minorHAnsi" w:cstheme="minorHAnsi"/>
          <w:b/>
          <w:bCs/>
        </w:rPr>
        <w:t>Ce type d’OSC peut être proposé par le bénéficiaire (aucun seuil n’est applicable) au stade de la proposition (formulaire de demande de subvention – demande complète).</w:t>
      </w:r>
      <w:r w:rsidRPr="00CB1F22">
        <w:rPr>
          <w:rFonts w:asciiTheme="minorHAnsi" w:hAnsiTheme="minorHAnsi" w:cstheme="minorHAnsi"/>
        </w:rPr>
        <w:t xml:space="preserve"> Si le comité d’évaluation et l’ANPR ne sont pas convaincus par la justification fournie, un remboursement sur la base des frais effectivement supportés est toujours possible.</w:t>
      </w:r>
    </w:p>
    <w:p w14:paraId="4B0987EF" w14:textId="4C3A01C3" w:rsidR="008B4A5D" w:rsidRPr="00CB1F22" w:rsidRDefault="008B4A5D" w:rsidP="008B4A5D">
      <w:pPr>
        <w:rPr>
          <w:rFonts w:asciiTheme="minorHAnsi" w:hAnsiTheme="minorHAnsi" w:cstheme="minorHAnsi"/>
        </w:rPr>
      </w:pPr>
      <w:r w:rsidRPr="00CB1F22">
        <w:rPr>
          <w:rFonts w:asciiTheme="minorHAnsi" w:hAnsiTheme="minorHAnsi" w:cstheme="minorHAnsi"/>
        </w:rPr>
        <w:t xml:space="preserve">Veuillez consulter </w:t>
      </w:r>
      <w:r w:rsidRPr="005E159F">
        <w:rPr>
          <w:rFonts w:asciiTheme="minorHAnsi" w:hAnsiTheme="minorHAnsi" w:cstheme="minorHAnsi"/>
          <w:highlight w:val="yellow"/>
        </w:rPr>
        <w:t>l’annexe </w:t>
      </w:r>
      <w:r w:rsidR="007E4CE5">
        <w:rPr>
          <w:rFonts w:asciiTheme="minorHAnsi" w:hAnsiTheme="minorHAnsi" w:cstheme="minorHAnsi"/>
        </w:rPr>
        <w:t>J</w:t>
      </w:r>
      <w:r w:rsidRPr="00CB1F22">
        <w:rPr>
          <w:rFonts w:asciiTheme="minorHAnsi" w:hAnsiTheme="minorHAnsi" w:cstheme="minorHAnsi"/>
        </w:rPr>
        <w:t xml:space="preserve"> pour connaître le détail de la procédure à suivre selon le type et le montant des coûts à déclarer comme OSC.</w:t>
      </w:r>
    </w:p>
    <w:p w14:paraId="47B0B570" w14:textId="2145604D" w:rsidR="008B4A5D" w:rsidRPr="00CB1F22" w:rsidRDefault="008B4A5D" w:rsidP="008B4A5D">
      <w:pPr>
        <w:rPr>
          <w:rFonts w:asciiTheme="minorHAnsi" w:hAnsiTheme="minorHAnsi" w:cstheme="minorHAnsi"/>
        </w:rPr>
      </w:pPr>
      <w:r w:rsidRPr="00CB1F22">
        <w:rPr>
          <w:rFonts w:asciiTheme="minorHAnsi" w:hAnsiTheme="minorHAnsi" w:cstheme="minorHAnsi"/>
        </w:rPr>
        <w:t xml:space="preserve">Les demandeurs proposant cette forme de remboursement doivent faire apparaître clairement, dans la feuille de calcul nº 1 de l’annexe B, chaque rubrique/poste de coûts éligibles concerné(e) par ce type de financement, en indiquant, en lettres capitales, la mention «COÛT UNITAIRE», «MONTANT FORFAITAIRE»,  dans la colonne «Unité» </w:t>
      </w:r>
      <w:r w:rsidRPr="00CB1F22">
        <w:rPr>
          <w:rFonts w:asciiTheme="minorHAnsi" w:hAnsiTheme="minorHAnsi" w:cstheme="minorHAnsi"/>
          <w:highlight w:val="yellow"/>
        </w:rPr>
        <w:t>(voir l’exemple dans l’annexe </w:t>
      </w:r>
      <w:r w:rsidR="007E4CE5">
        <w:rPr>
          <w:rFonts w:asciiTheme="minorHAnsi" w:hAnsiTheme="minorHAnsi" w:cstheme="minorHAnsi"/>
          <w:highlight w:val="yellow"/>
        </w:rPr>
        <w:t>J</w:t>
      </w:r>
      <w:r w:rsidRPr="00CB1F22">
        <w:rPr>
          <w:rFonts w:asciiTheme="minorHAnsi" w:hAnsiTheme="minorHAnsi" w:cstheme="minorHAnsi"/>
          <w:highlight w:val="yellow"/>
        </w:rPr>
        <w:t>).</w:t>
      </w:r>
      <w:r w:rsidRPr="00CB1F22">
        <w:rPr>
          <w:rFonts w:asciiTheme="minorHAnsi" w:hAnsiTheme="minorHAnsi" w:cstheme="minorHAnsi"/>
        </w:rPr>
        <w:t xml:space="preserve"> </w:t>
      </w:r>
    </w:p>
    <w:p w14:paraId="612D6CD1" w14:textId="77777777" w:rsidR="008B4A5D" w:rsidRPr="00CB1F22" w:rsidRDefault="008B4A5D" w:rsidP="008B4A5D">
      <w:pPr>
        <w:rPr>
          <w:rFonts w:asciiTheme="minorHAnsi" w:hAnsiTheme="minorHAnsi" w:cstheme="minorHAnsi"/>
        </w:rPr>
      </w:pPr>
      <w:r w:rsidRPr="00CB1F22">
        <w:rPr>
          <w:rFonts w:asciiTheme="minorHAnsi" w:hAnsiTheme="minorHAnsi" w:cstheme="minorHAnsi"/>
        </w:rPr>
        <w:lastRenderedPageBreak/>
        <w:t>En outre, dans l’annexe B, dans la deuxième colonne de la feuille de calcul nº 2 «Justification des coûts estimés», les demandeurs doivent, pour chaque poste budgétaire ou rubrique correspondant(e):</w:t>
      </w:r>
    </w:p>
    <w:p w14:paraId="26B473AE" w14:textId="77777777" w:rsidR="008B4A5D" w:rsidRPr="00CB1F22" w:rsidRDefault="008B4A5D" w:rsidP="008B4A5D">
      <w:pPr>
        <w:numPr>
          <w:ilvl w:val="0"/>
          <w:numId w:val="6"/>
        </w:numPr>
        <w:rPr>
          <w:rFonts w:asciiTheme="minorHAnsi" w:hAnsiTheme="minorHAnsi" w:cstheme="minorHAnsi"/>
        </w:rPr>
      </w:pPr>
      <w:r w:rsidRPr="00CB1F22">
        <w:rPr>
          <w:rFonts w:asciiTheme="minorHAnsi" w:hAnsiTheme="minorHAnsi" w:cstheme="minorHAnsi"/>
        </w:rPr>
        <w:t>décrire les informations et les méthodes utilisées pour déterminer les montants des coûts unitaires et/ou les montants forfaitaires, indiquer à quels coûts ils se réfèrent, etc. pour les OSC basées sur les produits ou les résultats;</w:t>
      </w:r>
    </w:p>
    <w:p w14:paraId="73C6A74F" w14:textId="77777777" w:rsidR="008B4A5D" w:rsidRPr="00CB1F22" w:rsidRDefault="008B4A5D" w:rsidP="008B4A5D">
      <w:pPr>
        <w:numPr>
          <w:ilvl w:val="0"/>
          <w:numId w:val="6"/>
        </w:numPr>
        <w:rPr>
          <w:rFonts w:asciiTheme="minorHAnsi" w:hAnsiTheme="minorHAnsi" w:cstheme="minorHAnsi"/>
          <w:bCs/>
        </w:rPr>
      </w:pPr>
      <w:r w:rsidRPr="00CB1F22">
        <w:rPr>
          <w:rFonts w:asciiTheme="minorHAnsi" w:hAnsiTheme="minorHAnsi" w:cstheme="minorHAnsi"/>
        </w:rPr>
        <w:t>expliquer clairement les formules utilisées pour le calcul du montant final éligible pour les OSC basées sur les produits ou les résultats.</w:t>
      </w:r>
    </w:p>
    <w:p w14:paraId="270D7E62" w14:textId="77777777" w:rsidR="008B4A5D" w:rsidRPr="00CB1F22" w:rsidRDefault="008B4A5D" w:rsidP="008B4A5D">
      <w:pPr>
        <w:rPr>
          <w:rFonts w:asciiTheme="minorHAnsi" w:hAnsiTheme="minorHAnsi" w:cstheme="minorHAnsi"/>
        </w:rPr>
      </w:pPr>
      <w:r w:rsidRPr="00CB1F22">
        <w:rPr>
          <w:rFonts w:asciiTheme="minorHAnsi" w:hAnsiTheme="minorHAnsi" w:cstheme="minorHAnsi"/>
        </w:rPr>
        <w:t>Lorsque des OSC sont proposées, le comité d’évaluation et l’ANPR décident s’ils acceptent ou non les montants ou taux proposés sur la base du budget prévisionnel soumis par les demandeurs, en analysant les données factuelles des subventions utilisées par les demandeurs ou d’actions similaires. Si le comité d’évaluation et l’ANPR ne sont pas convaincus par la justification fournie, un remboursement sur la base des frais effectivement supportés est toujours possible.</w:t>
      </w:r>
    </w:p>
    <w:p w14:paraId="4BB632AB" w14:textId="77777777" w:rsidR="008B4A5D" w:rsidRPr="00CB1F22" w:rsidRDefault="008B4A5D" w:rsidP="008B4A5D">
      <w:pPr>
        <w:rPr>
          <w:rFonts w:asciiTheme="minorHAnsi" w:hAnsiTheme="minorHAnsi" w:cstheme="minorHAnsi"/>
          <w:szCs w:val="22"/>
        </w:rPr>
      </w:pPr>
      <w:r w:rsidRPr="00CB1F22">
        <w:rPr>
          <w:rFonts w:asciiTheme="minorHAnsi" w:hAnsiTheme="minorHAnsi" w:cstheme="minorHAnsi"/>
        </w:rPr>
        <w:t xml:space="preserve">Aucun seuil n’est fixé à l’avance pour le montant total du financement qui peut être autorisé par l’ANPR sur la base d’options simplifiées en matière de coûts. </w:t>
      </w:r>
    </w:p>
    <w:p w14:paraId="27C2A563" w14:textId="77777777" w:rsidR="008B4A5D" w:rsidRDefault="008B4A5D" w:rsidP="008B4A5D"/>
    <w:p w14:paraId="229E7409" w14:textId="77777777" w:rsidR="005E275E" w:rsidRDefault="00000000"/>
    <w:sectPr w:rsidR="005E275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8EF47" w14:textId="77777777" w:rsidR="00E455C8" w:rsidRDefault="00E455C8" w:rsidP="005E159F">
      <w:pPr>
        <w:spacing w:after="0"/>
      </w:pPr>
      <w:r>
        <w:separator/>
      </w:r>
    </w:p>
  </w:endnote>
  <w:endnote w:type="continuationSeparator" w:id="0">
    <w:p w14:paraId="34FA81AC" w14:textId="77777777" w:rsidR="00E455C8" w:rsidRDefault="00E455C8" w:rsidP="005E15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61B12" w14:textId="77777777" w:rsidR="00E455C8" w:rsidRDefault="00E455C8" w:rsidP="005E159F">
      <w:pPr>
        <w:spacing w:after="0"/>
      </w:pPr>
      <w:r>
        <w:separator/>
      </w:r>
    </w:p>
  </w:footnote>
  <w:footnote w:type="continuationSeparator" w:id="0">
    <w:p w14:paraId="038266C1" w14:textId="77777777" w:rsidR="00E455C8" w:rsidRDefault="00E455C8" w:rsidP="005E15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CA927" w14:textId="2AA255C6" w:rsidR="005E159F" w:rsidRPr="005E159F" w:rsidRDefault="005E159F">
    <w:pPr>
      <w:pStyle w:val="En-tte"/>
      <w:rPr>
        <w:b/>
        <w:bCs/>
        <w:sz w:val="32"/>
        <w:szCs w:val="28"/>
      </w:rPr>
    </w:pPr>
    <w:r w:rsidRPr="005E159F">
      <w:rPr>
        <w:b/>
        <w:bCs/>
        <w:sz w:val="32"/>
        <w:szCs w:val="28"/>
      </w:rPr>
      <w:t>Annexe H Glossaire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CCC"/>
    <w:multiLevelType w:val="multilevel"/>
    <w:tmpl w:val="C11A8DEE"/>
    <w:lvl w:ilvl="0">
      <w:start w:val="1"/>
      <w:numFmt w:val="decimal"/>
      <w:pStyle w:val="Guidelines1"/>
      <w:lvlText w:val="%1."/>
      <w:lvlJc w:val="left"/>
      <w:rPr>
        <w:rFonts w:ascii="Times New Roman Bold" w:hAnsi="Times New Roman Bold"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uidelines2"/>
      <w:lvlText w:val="%1.%2."/>
      <w:lvlJc w:val="left"/>
      <w:rPr>
        <w:rFonts w:ascii="Times New Roman Bold" w:hAnsi="Times New Roman Bold"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Bold" w:hAnsi="Times New Roman Bold" w:hint="default"/>
        <w:b/>
        <w:i/>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567" w:hanging="567"/>
      </w:pPr>
      <w:rPr>
        <w:rFonts w:hint="default"/>
      </w:rPr>
    </w:lvl>
    <w:lvl w:ilvl="4">
      <w:start w:val="1"/>
      <w:numFmt w:val="decimal"/>
      <w:isLgl/>
      <w:lvlText w:val="%1.%2.%3.%4.%5"/>
      <w:lvlJc w:val="left"/>
      <w:pPr>
        <w:ind w:left="567" w:hanging="567"/>
      </w:pPr>
      <w:rPr>
        <w:rFonts w:hint="default"/>
      </w:rPr>
    </w:lvl>
    <w:lvl w:ilvl="5">
      <w:start w:val="1"/>
      <w:numFmt w:val="decimal"/>
      <w:isLgl/>
      <w:lvlText w:val="%1.%2.%3.%4.%5.%6"/>
      <w:lvlJc w:val="left"/>
      <w:pPr>
        <w:ind w:left="567" w:hanging="567"/>
      </w:pPr>
      <w:rPr>
        <w:rFonts w:hint="default"/>
      </w:rPr>
    </w:lvl>
    <w:lvl w:ilvl="6">
      <w:start w:val="1"/>
      <w:numFmt w:val="decimal"/>
      <w:isLgl/>
      <w:lvlText w:val="%1.%2.%3.%4.%5.%6.%7"/>
      <w:lvlJc w:val="left"/>
      <w:pPr>
        <w:ind w:left="567" w:hanging="567"/>
      </w:pPr>
      <w:rPr>
        <w:rFonts w:hint="default"/>
      </w:rPr>
    </w:lvl>
    <w:lvl w:ilvl="7">
      <w:start w:val="1"/>
      <w:numFmt w:val="decimal"/>
      <w:isLgl/>
      <w:lvlText w:val="%1.%2.%3.%4.%5.%6.%7.%8"/>
      <w:lvlJc w:val="left"/>
      <w:pPr>
        <w:ind w:left="567" w:hanging="567"/>
      </w:pPr>
      <w:rPr>
        <w:rFonts w:hint="default"/>
      </w:rPr>
    </w:lvl>
    <w:lvl w:ilvl="8">
      <w:start w:val="1"/>
      <w:numFmt w:val="decimal"/>
      <w:isLgl/>
      <w:lvlText w:val="%1.%2.%3.%4.%5.%6.%7.%8.%9"/>
      <w:lvlJc w:val="left"/>
      <w:pPr>
        <w:ind w:left="567" w:hanging="567"/>
      </w:pPr>
      <w:rPr>
        <w:rFonts w:hint="default"/>
      </w:rPr>
    </w:lvl>
  </w:abstractNum>
  <w:abstractNum w:abstractNumId="1" w15:restartNumberingAfterBreak="0">
    <w:nsid w:val="071739D2"/>
    <w:multiLevelType w:val="multilevel"/>
    <w:tmpl w:val="B79EBA66"/>
    <w:lvl w:ilvl="0">
      <w:start w:val="1"/>
      <w:numFmt w:val="decimal"/>
      <w:lvlText w:val="%1."/>
      <w:lvlJc w:val="left"/>
      <w:pPr>
        <w:tabs>
          <w:tab w:val="num" w:pos="360"/>
        </w:tabs>
        <w:ind w:left="360" w:hanging="360"/>
      </w:pPr>
    </w:lvl>
    <w:lvl w:ilvl="1">
      <w:numFmt w:val="decimal"/>
      <w:pStyle w:val="Titre5"/>
      <w:lvlText w:val=""/>
      <w:lvlJc w:val="left"/>
    </w:lvl>
    <w:lvl w:ilvl="2">
      <w:numFmt w:val="decimal"/>
      <w:pStyle w:val="Titre6"/>
      <w:lvlText w:val=""/>
      <w:lvlJc w:val="left"/>
    </w:lvl>
    <w:lvl w:ilvl="3">
      <w:numFmt w:val="decimal"/>
      <w:lvlText w:val=""/>
      <w:lvlJc w:val="left"/>
    </w:lvl>
    <w:lvl w:ilvl="4">
      <w:numFmt w:val="decimal"/>
      <w:lvlText w:val=""/>
      <w:lvlJc w:val="left"/>
    </w:lvl>
    <w:lvl w:ilvl="5">
      <w:numFmt w:val="decimal"/>
      <w:lvlText w:val=""/>
      <w:lvlJc w:val="left"/>
    </w:lvl>
    <w:lvl w:ilvl="6">
      <w:numFmt w:val="decimal"/>
      <w:pStyle w:val="Titre7"/>
      <w:lvlText w:val=""/>
      <w:lvlJc w:val="left"/>
    </w:lvl>
    <w:lvl w:ilvl="7">
      <w:numFmt w:val="decimal"/>
      <w:pStyle w:val="Titre8"/>
      <w:lvlText w:val=""/>
      <w:lvlJc w:val="left"/>
    </w:lvl>
    <w:lvl w:ilvl="8">
      <w:numFmt w:val="decimal"/>
      <w:pStyle w:val="Titre9"/>
      <w:lvlText w:val=""/>
      <w:lvlJc w:val="left"/>
    </w:lvl>
  </w:abstractNum>
  <w:abstractNum w:abstractNumId="2" w15:restartNumberingAfterBreak="0">
    <w:nsid w:val="1DEE6108"/>
    <w:multiLevelType w:val="hybridMultilevel"/>
    <w:tmpl w:val="7BE46FD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D44FBD"/>
    <w:multiLevelType w:val="hybridMultilevel"/>
    <w:tmpl w:val="4A12FD18"/>
    <w:lvl w:ilvl="0" w:tplc="91585BAC">
      <w:numFmt w:val="bullet"/>
      <w:lvlText w:val="-"/>
      <w:lvlJc w:val="left"/>
      <w:pPr>
        <w:ind w:left="742" w:hanging="360"/>
      </w:pPr>
      <w:rPr>
        <w:rFonts w:ascii="Times New Roman" w:eastAsia="Calibri" w:hAnsi="Times New Roman" w:cs="Times New Roman" w:hint="default"/>
      </w:rPr>
    </w:lvl>
    <w:lvl w:ilvl="1" w:tplc="040C0003">
      <w:start w:val="1"/>
      <w:numFmt w:val="bullet"/>
      <w:lvlText w:val="o"/>
      <w:lvlJc w:val="left"/>
      <w:pPr>
        <w:ind w:left="1462" w:hanging="360"/>
      </w:pPr>
      <w:rPr>
        <w:rFonts w:ascii="Courier New" w:hAnsi="Courier New" w:cs="Courier New" w:hint="default"/>
      </w:rPr>
    </w:lvl>
    <w:lvl w:ilvl="2" w:tplc="040C0005">
      <w:start w:val="1"/>
      <w:numFmt w:val="bullet"/>
      <w:lvlText w:val=""/>
      <w:lvlJc w:val="left"/>
      <w:pPr>
        <w:ind w:left="2182" w:hanging="360"/>
      </w:pPr>
      <w:rPr>
        <w:rFonts w:ascii="Wingdings" w:hAnsi="Wingdings" w:hint="default"/>
      </w:rPr>
    </w:lvl>
    <w:lvl w:ilvl="3" w:tplc="040C0001">
      <w:start w:val="1"/>
      <w:numFmt w:val="bullet"/>
      <w:lvlText w:val=""/>
      <w:lvlJc w:val="left"/>
      <w:pPr>
        <w:ind w:left="2902" w:hanging="360"/>
      </w:pPr>
      <w:rPr>
        <w:rFonts w:ascii="Symbol" w:hAnsi="Symbol" w:hint="default"/>
      </w:rPr>
    </w:lvl>
    <w:lvl w:ilvl="4" w:tplc="040C0003">
      <w:start w:val="1"/>
      <w:numFmt w:val="bullet"/>
      <w:lvlText w:val="o"/>
      <w:lvlJc w:val="left"/>
      <w:pPr>
        <w:ind w:left="3622" w:hanging="360"/>
      </w:pPr>
      <w:rPr>
        <w:rFonts w:ascii="Courier New" w:hAnsi="Courier New" w:cs="Courier New" w:hint="default"/>
      </w:rPr>
    </w:lvl>
    <w:lvl w:ilvl="5" w:tplc="040C0005">
      <w:start w:val="1"/>
      <w:numFmt w:val="bullet"/>
      <w:lvlText w:val=""/>
      <w:lvlJc w:val="left"/>
      <w:pPr>
        <w:ind w:left="4342" w:hanging="360"/>
      </w:pPr>
      <w:rPr>
        <w:rFonts w:ascii="Wingdings" w:hAnsi="Wingdings" w:hint="default"/>
      </w:rPr>
    </w:lvl>
    <w:lvl w:ilvl="6" w:tplc="040C0001">
      <w:start w:val="1"/>
      <w:numFmt w:val="bullet"/>
      <w:lvlText w:val=""/>
      <w:lvlJc w:val="left"/>
      <w:pPr>
        <w:ind w:left="5062" w:hanging="360"/>
      </w:pPr>
      <w:rPr>
        <w:rFonts w:ascii="Symbol" w:hAnsi="Symbol" w:hint="default"/>
      </w:rPr>
    </w:lvl>
    <w:lvl w:ilvl="7" w:tplc="040C0003">
      <w:start w:val="1"/>
      <w:numFmt w:val="bullet"/>
      <w:lvlText w:val="o"/>
      <w:lvlJc w:val="left"/>
      <w:pPr>
        <w:ind w:left="5782" w:hanging="360"/>
      </w:pPr>
      <w:rPr>
        <w:rFonts w:ascii="Courier New" w:hAnsi="Courier New" w:cs="Courier New" w:hint="default"/>
      </w:rPr>
    </w:lvl>
    <w:lvl w:ilvl="8" w:tplc="040C0005">
      <w:start w:val="1"/>
      <w:numFmt w:val="bullet"/>
      <w:lvlText w:val=""/>
      <w:lvlJc w:val="left"/>
      <w:pPr>
        <w:ind w:left="6502" w:hanging="360"/>
      </w:pPr>
      <w:rPr>
        <w:rFonts w:ascii="Wingdings" w:hAnsi="Wingdings" w:hint="default"/>
      </w:rPr>
    </w:lvl>
  </w:abstractNum>
  <w:abstractNum w:abstractNumId="4" w15:restartNumberingAfterBreak="0">
    <w:nsid w:val="701C212C"/>
    <w:multiLevelType w:val="hybridMultilevel"/>
    <w:tmpl w:val="A14A3822"/>
    <w:lvl w:ilvl="0" w:tplc="E06E9EA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B7635C"/>
    <w:multiLevelType w:val="hybridMultilevel"/>
    <w:tmpl w:val="31AC068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27689986">
    <w:abstractNumId w:val="1"/>
  </w:num>
  <w:num w:numId="2" w16cid:durableId="1896157726">
    <w:abstractNumId w:val="3"/>
  </w:num>
  <w:num w:numId="3" w16cid:durableId="761218707">
    <w:abstractNumId w:val="5"/>
  </w:num>
  <w:num w:numId="4" w16cid:durableId="239802251">
    <w:abstractNumId w:val="0"/>
  </w:num>
  <w:num w:numId="5" w16cid:durableId="1941983386">
    <w:abstractNumId w:val="4"/>
  </w:num>
  <w:num w:numId="6" w16cid:durableId="1887376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8A8"/>
    <w:rsid w:val="000E2EBA"/>
    <w:rsid w:val="005E159F"/>
    <w:rsid w:val="007E4CE5"/>
    <w:rsid w:val="008B2D74"/>
    <w:rsid w:val="008B4A5D"/>
    <w:rsid w:val="00A72C9F"/>
    <w:rsid w:val="00B054C2"/>
    <w:rsid w:val="00B62F55"/>
    <w:rsid w:val="00DF08A8"/>
    <w:rsid w:val="00E455C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015F0"/>
  <w15:chartTrackingRefBased/>
  <w15:docId w15:val="{56CBB896-A999-4B58-BCEB-8CAF5818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A8"/>
    <w:pPr>
      <w:spacing w:after="200" w:line="240" w:lineRule="auto"/>
      <w:jc w:val="both"/>
    </w:pPr>
    <w:rPr>
      <w:rFonts w:ascii="Times New Roman" w:eastAsia="Times New Roman" w:hAnsi="Times New Roman" w:cs="Times New Roman"/>
      <w:snapToGrid w:val="0"/>
      <w:kern w:val="0"/>
      <w:szCs w:val="20"/>
      <w14:ligatures w14:val="none"/>
    </w:rPr>
  </w:style>
  <w:style w:type="paragraph" w:styleId="Titre5">
    <w:name w:val="heading 5"/>
    <w:basedOn w:val="Normal"/>
    <w:next w:val="Normal"/>
    <w:link w:val="Titre5Car"/>
    <w:rsid w:val="00DF08A8"/>
    <w:pPr>
      <w:numPr>
        <w:ilvl w:val="1"/>
        <w:numId w:val="1"/>
      </w:numPr>
      <w:tabs>
        <w:tab w:val="num" w:pos="0"/>
      </w:tabs>
      <w:spacing w:before="240" w:after="60"/>
      <w:outlineLvl w:val="4"/>
    </w:pPr>
    <w:rPr>
      <w:rFonts w:ascii="Arial" w:hAnsi="Arial"/>
    </w:rPr>
  </w:style>
  <w:style w:type="paragraph" w:styleId="Titre6">
    <w:name w:val="heading 6"/>
    <w:basedOn w:val="Normal"/>
    <w:next w:val="Normal"/>
    <w:link w:val="Titre6Car"/>
    <w:rsid w:val="00DF08A8"/>
    <w:pPr>
      <w:numPr>
        <w:ilvl w:val="2"/>
        <w:numId w:val="1"/>
      </w:numPr>
      <w:tabs>
        <w:tab w:val="num" w:pos="0"/>
      </w:tabs>
      <w:spacing w:before="240" w:after="60"/>
      <w:outlineLvl w:val="5"/>
    </w:pPr>
    <w:rPr>
      <w:rFonts w:ascii="Arial" w:hAnsi="Arial"/>
      <w:i/>
    </w:rPr>
  </w:style>
  <w:style w:type="paragraph" w:styleId="Titre7">
    <w:name w:val="heading 7"/>
    <w:basedOn w:val="Normal"/>
    <w:next w:val="Normal"/>
    <w:link w:val="Titre7Car"/>
    <w:rsid w:val="00DF08A8"/>
    <w:pPr>
      <w:numPr>
        <w:ilvl w:val="6"/>
        <w:numId w:val="1"/>
      </w:numPr>
      <w:tabs>
        <w:tab w:val="num" w:pos="0"/>
      </w:tabs>
      <w:spacing w:before="240" w:after="60"/>
      <w:outlineLvl w:val="6"/>
    </w:pPr>
    <w:rPr>
      <w:rFonts w:ascii="Arial" w:hAnsi="Arial"/>
      <w:sz w:val="20"/>
    </w:rPr>
  </w:style>
  <w:style w:type="paragraph" w:styleId="Titre8">
    <w:name w:val="heading 8"/>
    <w:basedOn w:val="Normal"/>
    <w:next w:val="Normal"/>
    <w:link w:val="Titre8Car"/>
    <w:rsid w:val="00DF08A8"/>
    <w:pPr>
      <w:numPr>
        <w:ilvl w:val="7"/>
        <w:numId w:val="1"/>
      </w:numPr>
      <w:tabs>
        <w:tab w:val="num" w:pos="0"/>
      </w:tabs>
      <w:spacing w:before="240" w:after="60"/>
      <w:outlineLvl w:val="7"/>
    </w:pPr>
    <w:rPr>
      <w:rFonts w:ascii="Arial" w:hAnsi="Arial"/>
      <w:i/>
      <w:sz w:val="20"/>
    </w:rPr>
  </w:style>
  <w:style w:type="paragraph" w:styleId="Titre9">
    <w:name w:val="heading 9"/>
    <w:basedOn w:val="Normal"/>
    <w:next w:val="Normal"/>
    <w:link w:val="Titre9Car"/>
    <w:rsid w:val="00DF08A8"/>
    <w:pPr>
      <w:numPr>
        <w:ilvl w:val="8"/>
        <w:numId w:val="1"/>
      </w:num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DF08A8"/>
    <w:rPr>
      <w:rFonts w:ascii="Arial" w:eastAsia="Times New Roman" w:hAnsi="Arial" w:cs="Times New Roman"/>
      <w:snapToGrid w:val="0"/>
      <w:kern w:val="0"/>
      <w:szCs w:val="20"/>
      <w14:ligatures w14:val="none"/>
    </w:rPr>
  </w:style>
  <w:style w:type="character" w:customStyle="1" w:styleId="Titre6Car">
    <w:name w:val="Titre 6 Car"/>
    <w:basedOn w:val="Policepardfaut"/>
    <w:link w:val="Titre6"/>
    <w:rsid w:val="00DF08A8"/>
    <w:rPr>
      <w:rFonts w:ascii="Arial" w:eastAsia="Times New Roman" w:hAnsi="Arial" w:cs="Times New Roman"/>
      <w:i/>
      <w:snapToGrid w:val="0"/>
      <w:kern w:val="0"/>
      <w:szCs w:val="20"/>
      <w14:ligatures w14:val="none"/>
    </w:rPr>
  </w:style>
  <w:style w:type="character" w:customStyle="1" w:styleId="Titre7Car">
    <w:name w:val="Titre 7 Car"/>
    <w:basedOn w:val="Policepardfaut"/>
    <w:link w:val="Titre7"/>
    <w:rsid w:val="00DF08A8"/>
    <w:rPr>
      <w:rFonts w:ascii="Arial" w:eastAsia="Times New Roman" w:hAnsi="Arial" w:cs="Times New Roman"/>
      <w:snapToGrid w:val="0"/>
      <w:kern w:val="0"/>
      <w:sz w:val="20"/>
      <w:szCs w:val="20"/>
      <w14:ligatures w14:val="none"/>
    </w:rPr>
  </w:style>
  <w:style w:type="character" w:customStyle="1" w:styleId="Titre8Car">
    <w:name w:val="Titre 8 Car"/>
    <w:basedOn w:val="Policepardfaut"/>
    <w:link w:val="Titre8"/>
    <w:rsid w:val="00DF08A8"/>
    <w:rPr>
      <w:rFonts w:ascii="Arial" w:eastAsia="Times New Roman" w:hAnsi="Arial" w:cs="Times New Roman"/>
      <w:i/>
      <w:snapToGrid w:val="0"/>
      <w:kern w:val="0"/>
      <w:sz w:val="20"/>
      <w:szCs w:val="20"/>
      <w14:ligatures w14:val="none"/>
    </w:rPr>
  </w:style>
  <w:style w:type="character" w:customStyle="1" w:styleId="Titre9Car">
    <w:name w:val="Titre 9 Car"/>
    <w:basedOn w:val="Policepardfaut"/>
    <w:link w:val="Titre9"/>
    <w:rsid w:val="00DF08A8"/>
    <w:rPr>
      <w:rFonts w:ascii="Arial" w:eastAsia="Times New Roman" w:hAnsi="Arial" w:cs="Times New Roman"/>
      <w:i/>
      <w:snapToGrid w:val="0"/>
      <w:kern w:val="0"/>
      <w:sz w:val="18"/>
      <w:szCs w:val="20"/>
      <w14:ligatures w14:val="none"/>
    </w:rPr>
  </w:style>
  <w:style w:type="paragraph" w:customStyle="1" w:styleId="Guidelines1">
    <w:name w:val="Guidelines 1"/>
    <w:basedOn w:val="Normal"/>
    <w:autoRedefine/>
    <w:qFormat/>
    <w:rsid w:val="00DF08A8"/>
    <w:pPr>
      <w:widowControl w:val="0"/>
      <w:numPr>
        <w:numId w:val="4"/>
      </w:numPr>
      <w:spacing w:after="360"/>
    </w:pPr>
    <w:rPr>
      <w:rFonts w:ascii="Times New Roman Bold" w:hAnsi="Times New Roman Bold"/>
      <w:b/>
      <w:caps/>
    </w:rPr>
  </w:style>
  <w:style w:type="paragraph" w:customStyle="1" w:styleId="Guidelines2">
    <w:name w:val="Guidelines 2"/>
    <w:basedOn w:val="Normal"/>
    <w:next w:val="Normal"/>
    <w:autoRedefine/>
    <w:qFormat/>
    <w:rsid w:val="00DF08A8"/>
    <w:pPr>
      <w:numPr>
        <w:ilvl w:val="1"/>
        <w:numId w:val="4"/>
      </w:numPr>
      <w:spacing w:before="240" w:after="120"/>
      <w:outlineLvl w:val="0"/>
    </w:pPr>
    <w:rPr>
      <w:rFonts w:ascii="Times New Roman Bold" w:hAnsi="Times New Roman Bold"/>
      <w:b/>
      <w:smallCaps/>
      <w:sz w:val="24"/>
    </w:rPr>
  </w:style>
  <w:style w:type="paragraph" w:customStyle="1" w:styleId="Guidelines3">
    <w:name w:val="Guidelines 3"/>
    <w:basedOn w:val="Normal"/>
    <w:next w:val="Normal"/>
    <w:autoRedefine/>
    <w:qFormat/>
    <w:rsid w:val="008B4A5D"/>
    <w:pPr>
      <w:keepNext/>
      <w:pBdr>
        <w:top w:val="single" w:sz="4" w:space="1" w:color="auto"/>
        <w:left w:val="single" w:sz="4" w:space="4" w:color="auto"/>
        <w:bottom w:val="single" w:sz="4" w:space="1" w:color="auto"/>
        <w:right w:val="single" w:sz="4" w:space="4" w:color="auto"/>
      </w:pBdr>
      <w:shd w:val="clear" w:color="auto" w:fill="FFFF00"/>
      <w:tabs>
        <w:tab w:val="left" w:pos="900"/>
      </w:tabs>
      <w:spacing w:before="120" w:after="0"/>
      <w:jc w:val="left"/>
    </w:pPr>
    <w:rPr>
      <w:b/>
      <w:i/>
      <w:sz w:val="24"/>
    </w:rPr>
  </w:style>
  <w:style w:type="paragraph" w:styleId="En-tte">
    <w:name w:val="header"/>
    <w:basedOn w:val="Normal"/>
    <w:link w:val="En-tteCar"/>
    <w:uiPriority w:val="99"/>
    <w:unhideWhenUsed/>
    <w:rsid w:val="005E159F"/>
    <w:pPr>
      <w:tabs>
        <w:tab w:val="center" w:pos="4513"/>
        <w:tab w:val="right" w:pos="9026"/>
      </w:tabs>
      <w:spacing w:after="0"/>
    </w:pPr>
  </w:style>
  <w:style w:type="character" w:customStyle="1" w:styleId="En-tteCar">
    <w:name w:val="En-tête Car"/>
    <w:basedOn w:val="Policepardfaut"/>
    <w:link w:val="En-tte"/>
    <w:uiPriority w:val="99"/>
    <w:rsid w:val="005E159F"/>
    <w:rPr>
      <w:rFonts w:ascii="Times New Roman" w:eastAsia="Times New Roman" w:hAnsi="Times New Roman" w:cs="Times New Roman"/>
      <w:snapToGrid w:val="0"/>
      <w:kern w:val="0"/>
      <w:szCs w:val="20"/>
      <w14:ligatures w14:val="none"/>
    </w:rPr>
  </w:style>
  <w:style w:type="paragraph" w:styleId="Pieddepage">
    <w:name w:val="footer"/>
    <w:basedOn w:val="Normal"/>
    <w:link w:val="PieddepageCar"/>
    <w:uiPriority w:val="99"/>
    <w:unhideWhenUsed/>
    <w:rsid w:val="005E159F"/>
    <w:pPr>
      <w:tabs>
        <w:tab w:val="center" w:pos="4513"/>
        <w:tab w:val="right" w:pos="9026"/>
      </w:tabs>
      <w:spacing w:after="0"/>
    </w:pPr>
  </w:style>
  <w:style w:type="character" w:customStyle="1" w:styleId="PieddepageCar">
    <w:name w:val="Pied de page Car"/>
    <w:basedOn w:val="Policepardfaut"/>
    <w:link w:val="Pieddepage"/>
    <w:uiPriority w:val="99"/>
    <w:rsid w:val="005E159F"/>
    <w:rPr>
      <w:rFonts w:ascii="Times New Roman" w:eastAsia="Times New Roman" w:hAnsi="Times New Roman" w:cs="Times New Roman"/>
      <w:snapToGrid w:val="0"/>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1161</Words>
  <Characters>6388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2023-05-18T16:55:00Z</dcterms:created>
  <dcterms:modified xsi:type="dcterms:W3CDTF">2023-05-24T14:17:00Z</dcterms:modified>
</cp:coreProperties>
</file>